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D385F" w:rsidR="00AC2DB4" w:rsidP="003D1C96" w:rsidRDefault="00AC2DB4" w14:paraId="5EE29926" w14:textId="395783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D385F">
        <w:rPr>
          <w:rFonts w:ascii="Arial" w:hAnsi="Arial" w:cs="Arial"/>
          <w:b/>
          <w:bCs/>
          <w:sz w:val="32"/>
          <w:szCs w:val="32"/>
        </w:rPr>
        <w:t>Temaserien 1</w:t>
      </w:r>
      <w:r w:rsidR="00027F91">
        <w:rPr>
          <w:rFonts w:ascii="Arial" w:hAnsi="Arial" w:cs="Arial"/>
          <w:b/>
          <w:bCs/>
          <w:sz w:val="32"/>
          <w:szCs w:val="32"/>
        </w:rPr>
        <w:t>3</w:t>
      </w:r>
      <w:r w:rsidRPr="007D385F">
        <w:rPr>
          <w:rFonts w:ascii="Arial" w:hAnsi="Arial" w:cs="Arial"/>
          <w:b/>
          <w:bCs/>
          <w:sz w:val="32"/>
          <w:szCs w:val="32"/>
        </w:rPr>
        <w:t xml:space="preserve"> år - Tema </w:t>
      </w:r>
      <w:r w:rsidR="00027F91">
        <w:rPr>
          <w:rFonts w:ascii="Arial" w:hAnsi="Arial" w:cs="Arial"/>
          <w:b/>
          <w:bCs/>
          <w:sz w:val="32"/>
          <w:szCs w:val="32"/>
        </w:rPr>
        <w:t>1</w:t>
      </w:r>
      <w:r w:rsidRPr="007D385F" w:rsidR="007D385F">
        <w:rPr>
          <w:rFonts w:ascii="Arial" w:hAnsi="Arial" w:cs="Arial"/>
          <w:b/>
          <w:bCs/>
          <w:sz w:val="32"/>
          <w:szCs w:val="32"/>
        </w:rPr>
        <w:t xml:space="preserve"> </w:t>
      </w:r>
      <w:r w:rsidR="00027F91">
        <w:rPr>
          <w:rFonts w:ascii="Arial" w:hAnsi="Arial" w:cs="Arial"/>
          <w:b/>
          <w:bCs/>
          <w:sz w:val="32"/>
          <w:szCs w:val="32"/>
        </w:rPr>
        <w:t>–</w:t>
      </w:r>
      <w:r w:rsidRPr="007D385F" w:rsidR="007D385F">
        <w:rPr>
          <w:rFonts w:ascii="Arial" w:hAnsi="Arial" w:cs="Arial"/>
          <w:b/>
          <w:bCs/>
          <w:sz w:val="32"/>
          <w:szCs w:val="32"/>
        </w:rPr>
        <w:t xml:space="preserve"> </w:t>
      </w:r>
      <w:r w:rsidR="00027F91">
        <w:rPr>
          <w:rFonts w:ascii="Arial" w:hAnsi="Arial" w:cs="Arial"/>
          <w:b/>
          <w:bCs/>
          <w:sz w:val="32"/>
          <w:szCs w:val="32"/>
        </w:rPr>
        <w:t xml:space="preserve">Plasskifte og </w:t>
      </w:r>
      <w:r w:rsidR="00662408">
        <w:rPr>
          <w:rFonts w:ascii="Arial" w:hAnsi="Arial" w:cs="Arial"/>
          <w:b/>
          <w:bCs/>
          <w:sz w:val="32"/>
          <w:szCs w:val="32"/>
        </w:rPr>
        <w:t>pådragsspill mot nedgruppert 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5BEA5B56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5BEA5B56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5BEA5B56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3E0AF16C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3E0AF16C" w14:paraId="114F4E11" w14:textId="77777777">
        <w:tc>
          <w:tcPr>
            <w:tcW w:w="3020" w:type="dxa"/>
            <w:tcMar/>
          </w:tcPr>
          <w:p w:rsidR="00027C0A" w:rsidP="0012735B" w:rsidRDefault="00670695" w14:paraId="191F929A" w14:textId="77777777">
            <w:r>
              <w:t xml:space="preserve">1. </w:t>
            </w:r>
            <w:r w:rsidRPr="00670695">
              <w:t xml:space="preserve">I fase 4 gir scoring etter plasskifte </w:t>
            </w:r>
            <w:r>
              <w:t>=</w:t>
            </w:r>
            <w:r w:rsidRPr="00670695">
              <w:t xml:space="preserve"> 2 poeng. </w:t>
            </w:r>
          </w:p>
          <w:p w:rsidR="00027F91" w:rsidP="0012735B" w:rsidRDefault="00027F91" w14:paraId="3E39C266" w14:textId="77777777"/>
          <w:p w:rsidR="00027F91" w:rsidP="0012735B" w:rsidRDefault="00027F91" w14:paraId="5BBF74A0" w14:textId="77777777"/>
          <w:p w:rsidR="00027F91" w:rsidP="0012735B" w:rsidRDefault="00027F91" w14:paraId="5EE5B8DD" w14:textId="77777777"/>
          <w:p w:rsidR="00027F91" w:rsidP="0012735B" w:rsidRDefault="00027F91" w14:paraId="3ED10258" w14:textId="77777777"/>
          <w:p w:rsidR="00027F91" w:rsidP="0012735B" w:rsidRDefault="00027F91" w14:paraId="6EB41791" w14:textId="77777777"/>
          <w:p w:rsidR="00027F91" w:rsidP="0012735B" w:rsidRDefault="00027F91" w14:paraId="0F046F1D" w14:textId="2F401D7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3E0AF16C" w14:paraId="612697C9" w14:textId="77777777">
        <w:tc>
          <w:tcPr>
            <w:tcW w:w="3020" w:type="dxa"/>
            <w:tcMar/>
          </w:tcPr>
          <w:p w:rsidR="0091317B" w:rsidP="001F5AAC" w:rsidRDefault="009678EF" w14:paraId="29DC4E07" w14:textId="77777777">
            <w:r>
              <w:t xml:space="preserve">2. </w:t>
            </w:r>
            <w:r w:rsidRPr="009678EF">
              <w:t xml:space="preserve">I fase 4 gir scoring etter plasskifte med påfølgende pådragsspill </w:t>
            </w:r>
            <w:r>
              <w:t>=</w:t>
            </w:r>
            <w:r w:rsidRPr="009678EF">
              <w:t xml:space="preserve"> 3 poeng, betinget at momentet (trykket) i pådragsspillet er kontinuerlig. </w:t>
            </w:r>
          </w:p>
          <w:p w:rsidR="00027F91" w:rsidP="001F5AAC" w:rsidRDefault="00027F91" w14:paraId="30EA5AAB" w14:textId="77777777"/>
          <w:p w:rsidR="00027F91" w:rsidP="001F5AAC" w:rsidRDefault="00027F91" w14:paraId="2A729E7F" w14:textId="755795F4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3E0AF16C" w14:paraId="22318487" w14:textId="77777777">
        <w:tc>
          <w:tcPr>
            <w:tcW w:w="3020" w:type="dxa"/>
            <w:tcMar/>
          </w:tcPr>
          <w:p w:rsidR="00027F91" w:rsidP="001F5AAC" w:rsidRDefault="009678EF" w14:paraId="334E1054" w14:textId="77777777">
            <w:r>
              <w:t xml:space="preserve">3. </w:t>
            </w:r>
            <w:r w:rsidRPr="009678EF">
              <w:t xml:space="preserve">Alle andre scoringer </w:t>
            </w:r>
            <w:r>
              <w:t>=</w:t>
            </w:r>
            <w:r w:rsidRPr="009678EF">
              <w:t xml:space="preserve"> 1 poeng.</w:t>
            </w:r>
          </w:p>
          <w:p w:rsidR="00027F91" w:rsidP="001F5AAC" w:rsidRDefault="00027F91" w14:paraId="13A579A6" w14:textId="77777777"/>
          <w:p w:rsidR="00027F91" w:rsidP="001F5AAC" w:rsidRDefault="00027F91" w14:paraId="6A4BADAC" w14:textId="77777777"/>
          <w:p w:rsidR="00027F91" w:rsidP="001F5AAC" w:rsidRDefault="00027F91" w14:paraId="1BB76ECF" w14:textId="77777777"/>
          <w:p w:rsidR="00027F91" w:rsidP="001F5AAC" w:rsidRDefault="00027F91" w14:paraId="280E2762" w14:textId="77777777"/>
          <w:p w:rsidR="00EE2982" w:rsidP="001F5AAC" w:rsidRDefault="009678EF" w14:paraId="4947C925" w14:textId="74527DF7">
            <w:r w:rsidRPr="009678EF">
              <w:t> </w:t>
            </w:r>
          </w:p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12735B" w:rsidTr="3E0AF16C" w14:paraId="4553FB4D" w14:textId="77777777">
        <w:tc>
          <w:tcPr>
            <w:tcW w:w="3020" w:type="dxa"/>
            <w:tcMar/>
          </w:tcPr>
          <w:p w:rsidR="0091317B" w:rsidP="0012735B" w:rsidRDefault="009678EF" w14:paraId="3A76DECB" w14:textId="77777777">
            <w:r>
              <w:t xml:space="preserve">4. Målvakt: </w:t>
            </w:r>
            <w:r w:rsidR="00642D29">
              <w:t>redning som gir eget lag ballkontroll = 1 poeng</w:t>
            </w:r>
          </w:p>
          <w:p w:rsidR="00027F91" w:rsidP="0012735B" w:rsidRDefault="00027F91" w14:paraId="30FD6F0C" w14:textId="77777777"/>
          <w:p w:rsidR="00027F91" w:rsidP="0012735B" w:rsidRDefault="00027F91" w14:paraId="7A709F72" w14:textId="77777777"/>
          <w:p w:rsidR="00027F91" w:rsidP="0012735B" w:rsidRDefault="00027F91" w14:paraId="07035FC1" w14:textId="77777777"/>
          <w:p w:rsidR="00027F91" w:rsidP="0012735B" w:rsidRDefault="00027F91" w14:paraId="2099F295" w14:textId="49FAA414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3E0AF16C" w14:paraId="72BD8CC2" w14:textId="77777777">
        <w:tc>
          <w:tcPr>
            <w:tcW w:w="3020" w:type="dxa"/>
            <w:tcMar/>
          </w:tcPr>
          <w:p w:rsidR="00027F91" w:rsidP="0012735B" w:rsidRDefault="00027F91" w14:paraId="41DCA5B2" w14:textId="1BF7DC50">
            <w:r w:rsidR="00642D29">
              <w:rPr/>
              <w:t xml:space="preserve">5. Målvakt: Redning av rette skudd etter </w:t>
            </w:r>
            <w:r w:rsidR="00027F91">
              <w:rPr/>
              <w:t>gjennombrudd = 2 poeng</w:t>
            </w:r>
          </w:p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77777777"/>
    <w:p w:rsidR="55ED1475" w:rsidP="3E0AF16C" w:rsidRDefault="55ED1475" w14:paraId="6F1BDC50" w14:textId="663D1886">
      <w:pPr>
        <w:spacing w:before="0" w:beforeAutospacing="off" w:after="160" w:afterAutospacing="off" w:line="276" w:lineRule="auto"/>
        <w:rPr>
          <w:rFonts w:ascii="Aptos" w:hAnsi="Aptos" w:eastAsia="Aptos" w:cs="Aptos"/>
          <w:b w:val="1"/>
          <w:bCs w:val="1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b w:val="1"/>
          <w:bCs w:val="1"/>
          <w:noProof w:val="0"/>
          <w:sz w:val="20"/>
          <w:szCs w:val="20"/>
          <w:lang w:val="nb-NO"/>
        </w:rPr>
        <w:t>Fordypning</w:t>
      </w:r>
    </w:p>
    <w:p w:rsidR="55ED1475" w:rsidP="3E0AF16C" w:rsidRDefault="55ED1475" w14:paraId="278E9B89" w14:textId="31AFE7E6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Ved behov for fordypning ser du dypere inn i trakten og sorterer på de åtte enkeltfasene.</w:t>
      </w:r>
    </w:p>
    <w:p w:rsidR="55ED1475" w:rsidP="3E0AF16C" w:rsidRDefault="55ED1475" w14:paraId="1A7EFFB4" w14:textId="3E8DB739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1: Startfasen.</w:t>
      </w:r>
    </w:p>
    <w:p w:rsidR="55ED1475" w:rsidP="3E0AF16C" w:rsidRDefault="55ED1475" w14:paraId="7B088AFB" w14:textId="4CE620D5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55ED1475" w:rsidP="3E0AF16C" w:rsidRDefault="55ED1475" w14:paraId="5F715CE9" w14:textId="313797EE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 xml:space="preserve">Fase 2: </w:t>
      </w: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Fremoverspillet</w:t>
      </w: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.</w:t>
      </w:r>
    </w:p>
    <w:p w:rsidR="55ED1475" w:rsidP="3E0AF16C" w:rsidRDefault="55ED1475" w14:paraId="2D771ED6" w14:textId="3B2AAFBD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 xml:space="preserve">Fase 2 starter i det startfasen avsluttes, med mindre laget umiddelbart må tilbake i fase 8. </w:t>
      </w: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Fremoverspillet</w:t>
      </w: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 xml:space="preserve"> er den fasen hvor løp og pasninger i all hovedsak er fremover i banen. </w:t>
      </w:r>
    </w:p>
    <w:p w:rsidR="55ED1475" w:rsidP="3E0AF16C" w:rsidRDefault="55ED1475" w14:paraId="6CCA65F3" w14:textId="1778E66A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3: Ankomstfase.</w:t>
      </w:r>
    </w:p>
    <w:p w:rsidR="55ED1475" w:rsidP="3E0AF16C" w:rsidRDefault="55ED1475" w14:paraId="72D65342" w14:textId="1E676FED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 xml:space="preserve">Fase 3 starter i det </w:t>
      </w: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fremoverspillet</w:t>
      </w: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 xml:space="preserve"> avsluttes, med mindre laget må gå direkte til fase 5. Vi er i ankomstfasen når vi har kommet opp til motstanderens mål og fortsetter å trykke mot et delvis organisert forsvar, men før motstanderen er fullt ut i balanse.</w:t>
      </w:r>
    </w:p>
    <w:p w:rsidR="55ED1475" w:rsidP="3E0AF16C" w:rsidRDefault="55ED1475" w14:paraId="2DCCBDEA" w14:textId="60960A98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4: Etablert angrep.</w:t>
      </w:r>
    </w:p>
    <w:p w:rsidR="55ED1475" w:rsidP="3E0AF16C" w:rsidRDefault="55ED1475" w14:paraId="34E101EB" w14:textId="295F6F49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55ED1475" w:rsidP="3E0AF16C" w:rsidRDefault="55ED1475" w14:paraId="5C9C1A37" w14:textId="630AD4F9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5: Returstart.</w:t>
      </w:r>
    </w:p>
    <w:p w:rsidR="55ED1475" w:rsidP="3E0AF16C" w:rsidRDefault="55ED1475" w14:paraId="30A4C6B5" w14:textId="79B154C8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55ED1475" w:rsidP="3E0AF16C" w:rsidRDefault="55ED1475" w14:paraId="07D8C053" w14:textId="6F826346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6: Returspill.</w:t>
      </w:r>
    </w:p>
    <w:p w:rsidR="55ED1475" w:rsidP="3E0AF16C" w:rsidRDefault="55ED1475" w14:paraId="25497F43" w14:textId="62506609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55ED1475" w:rsidP="3E0AF16C" w:rsidRDefault="55ED1475" w14:paraId="377A65D6" w14:textId="6F065BFB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7: Ankomstforsvar.</w:t>
      </w:r>
    </w:p>
    <w:p w:rsidR="55ED1475" w:rsidP="3E0AF16C" w:rsidRDefault="55ED1475" w14:paraId="13D74122" w14:textId="418EE3E2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55ED1475" w:rsidP="3E0AF16C" w:rsidRDefault="55ED1475" w14:paraId="442F2471" w14:textId="3D22488D">
      <w:pPr>
        <w:spacing w:before="0" w:beforeAutospacing="off" w:after="160" w:afterAutospacing="off" w:line="276" w:lineRule="auto"/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</w:pPr>
      <w:r w:rsidRPr="3E0AF16C" w:rsidR="55ED1475">
        <w:rPr>
          <w:rFonts w:ascii="Aptos" w:hAnsi="Aptos" w:eastAsia="Aptos" w:cs="Aptos"/>
          <w:i w:val="1"/>
          <w:iCs w:val="1"/>
          <w:noProof w:val="0"/>
          <w:sz w:val="20"/>
          <w:szCs w:val="20"/>
          <w:highlight w:val="yellow"/>
          <w:lang w:val="nb-NO"/>
        </w:rPr>
        <w:t>Fase 8: Etablert forsvar.</w:t>
      </w:r>
    </w:p>
    <w:p w:rsidR="55ED1475" w:rsidP="3E0AF16C" w:rsidRDefault="55ED1475" w14:paraId="40016BFD" w14:textId="531BB696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0"/>
          <w:szCs w:val="20"/>
          <w:lang w:val="nb-NO"/>
        </w:rPr>
      </w:pPr>
      <w:r w:rsidRPr="3E0AF16C" w:rsidR="55ED1475">
        <w:rPr>
          <w:rFonts w:ascii="Aptos" w:hAnsi="Aptos" w:eastAsia="Aptos" w:cs="Aptos"/>
          <w:noProof w:val="0"/>
          <w:sz w:val="20"/>
          <w:szCs w:val="20"/>
          <w:lang w:val="nb-NO"/>
        </w:rPr>
        <w:t>Fase 8 starter i det ankomstforsvaret avsluttes, med mindre laget kan gå direkte til fase 1. I etablert forsvar er forsvaret organisert og i balanse.</w:t>
      </w:r>
    </w:p>
    <w:p w:rsidR="5E19A048" w:rsidP="5E19A048" w:rsidRDefault="5E19A048" w14:paraId="219A845B" w14:textId="7C283789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5E19A048" w:rsidRDefault="5E19A048" w14:paraId="3B969D7B" w14:textId="6E896824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7A36" w:rsidP="003D1C96" w:rsidRDefault="00FA7A36" w14:paraId="64658235" w14:textId="77777777">
      <w:pPr>
        <w:spacing w:after="0" w:line="240" w:lineRule="auto"/>
      </w:pPr>
      <w:r>
        <w:separator/>
      </w:r>
    </w:p>
  </w:endnote>
  <w:endnote w:type="continuationSeparator" w:id="0">
    <w:p w:rsidR="00FA7A36" w:rsidP="003D1C96" w:rsidRDefault="00FA7A36" w14:paraId="4C89A3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7A36" w:rsidP="003D1C96" w:rsidRDefault="00FA7A36" w14:paraId="2C59E888" w14:textId="77777777">
      <w:pPr>
        <w:spacing w:after="0" w:line="240" w:lineRule="auto"/>
      </w:pPr>
      <w:r>
        <w:separator/>
      </w:r>
    </w:p>
  </w:footnote>
  <w:footnote w:type="continuationSeparator" w:id="0">
    <w:p w:rsidR="00FA7A36" w:rsidP="003D1C96" w:rsidRDefault="00FA7A36" w14:paraId="2FB2DA9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59264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7216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27F91"/>
    <w:rsid w:val="000900C7"/>
    <w:rsid w:val="000B0922"/>
    <w:rsid w:val="00115674"/>
    <w:rsid w:val="0012735B"/>
    <w:rsid w:val="001370A6"/>
    <w:rsid w:val="001A43F0"/>
    <w:rsid w:val="001C1F3A"/>
    <w:rsid w:val="001D7059"/>
    <w:rsid w:val="001E741A"/>
    <w:rsid w:val="001F5AAC"/>
    <w:rsid w:val="001F659C"/>
    <w:rsid w:val="0020377C"/>
    <w:rsid w:val="002E0F0A"/>
    <w:rsid w:val="0032782C"/>
    <w:rsid w:val="003734AC"/>
    <w:rsid w:val="003A79A8"/>
    <w:rsid w:val="003D1C96"/>
    <w:rsid w:val="0040464E"/>
    <w:rsid w:val="004819D3"/>
    <w:rsid w:val="0049365A"/>
    <w:rsid w:val="00511849"/>
    <w:rsid w:val="00593945"/>
    <w:rsid w:val="00642D29"/>
    <w:rsid w:val="00643C33"/>
    <w:rsid w:val="00662408"/>
    <w:rsid w:val="00670695"/>
    <w:rsid w:val="00680F32"/>
    <w:rsid w:val="00684E4E"/>
    <w:rsid w:val="00714B2F"/>
    <w:rsid w:val="00721D41"/>
    <w:rsid w:val="0075229F"/>
    <w:rsid w:val="007A2E00"/>
    <w:rsid w:val="007D385F"/>
    <w:rsid w:val="00821BF3"/>
    <w:rsid w:val="00841965"/>
    <w:rsid w:val="00880DCE"/>
    <w:rsid w:val="008B07C8"/>
    <w:rsid w:val="0091317B"/>
    <w:rsid w:val="00941FC8"/>
    <w:rsid w:val="009678EF"/>
    <w:rsid w:val="009A297B"/>
    <w:rsid w:val="00A06DE1"/>
    <w:rsid w:val="00A722D7"/>
    <w:rsid w:val="00AC2DB4"/>
    <w:rsid w:val="00AD1444"/>
    <w:rsid w:val="00B312A9"/>
    <w:rsid w:val="00CC5332"/>
    <w:rsid w:val="00CD50E9"/>
    <w:rsid w:val="00EE2982"/>
    <w:rsid w:val="00F50E18"/>
    <w:rsid w:val="00F66B3D"/>
    <w:rsid w:val="00F676AF"/>
    <w:rsid w:val="00F85AE0"/>
    <w:rsid w:val="00FA7A36"/>
    <w:rsid w:val="00FC6988"/>
    <w:rsid w:val="3E0AF16C"/>
    <w:rsid w:val="55ED1475"/>
    <w:rsid w:val="5BEA5B56"/>
    <w:rsid w:val="5E19A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10</revision>
  <dcterms:created xsi:type="dcterms:W3CDTF">2024-08-13T11:19:00.0000000Z</dcterms:created>
  <dcterms:modified xsi:type="dcterms:W3CDTF">2024-08-27T10:22:15.9072902Z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